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1D" w:rsidRDefault="00830D1D" w:rsidP="00830D1D">
      <w:pPr>
        <w:spacing w:before="90" w:line="240" w:lineRule="auto"/>
        <w:ind w:left="1296" w:right="1296"/>
        <w:jc w:val="center"/>
        <w:rPr>
          <w:rFonts w:ascii="Times New Roman"/>
          <w:b/>
          <w:sz w:val="24"/>
        </w:rPr>
      </w:pPr>
      <w:r>
        <w:rPr>
          <w:rFonts w:ascii="Times New Roman"/>
          <w:b/>
          <w:sz w:val="24"/>
        </w:rPr>
        <w:t>BEST METAL</w:t>
      </w:r>
      <w:r>
        <w:rPr>
          <w:rFonts w:ascii="Times New Roman"/>
          <w:b/>
          <w:sz w:val="24"/>
        </w:rPr>
        <w:t xml:space="preserve"> TRADING FZE SUPPLY CHAIN</w:t>
      </w:r>
      <w:r>
        <w:rPr>
          <w:rFonts w:ascii="Times New Roman"/>
          <w:b/>
          <w:sz w:val="24"/>
        </w:rPr>
        <w:t xml:space="preserve"> </w:t>
      </w:r>
      <w:r>
        <w:rPr>
          <w:rFonts w:ascii="Times New Roman"/>
          <w:b/>
          <w:sz w:val="24"/>
        </w:rPr>
        <w:t>POLICY</w:t>
      </w:r>
    </w:p>
    <w:p w:rsidR="00830D1D" w:rsidRDefault="00830D1D" w:rsidP="00830D1D">
      <w:pPr>
        <w:pStyle w:val="BodyText"/>
        <w:spacing w:before="8"/>
        <w:ind w:left="0"/>
        <w:rPr>
          <w:rFonts w:ascii="Times New Roman"/>
          <w:b/>
        </w:rPr>
      </w:pPr>
    </w:p>
    <w:p w:rsidR="00830D1D" w:rsidRDefault="00830D1D" w:rsidP="00830D1D">
      <w:pPr>
        <w:pStyle w:val="BodyText"/>
        <w:ind w:right="109"/>
        <w:jc w:val="both"/>
      </w:pPr>
      <w:r>
        <w:t>BEST METAL TRADING FZE</w:t>
      </w:r>
      <w:r>
        <w:t>, a precious metals refinery service provider, is fully committed</w:t>
      </w:r>
      <w:r>
        <w:rPr>
          <w:spacing w:val="-5"/>
        </w:rPr>
        <w:t xml:space="preserve"> </w:t>
      </w:r>
      <w:r>
        <w:t>in</w:t>
      </w:r>
      <w:r>
        <w:rPr>
          <w:spacing w:val="-6"/>
        </w:rPr>
        <w:t xml:space="preserve"> </w:t>
      </w:r>
      <w:r>
        <w:t>providing</w:t>
      </w:r>
      <w:r>
        <w:rPr>
          <w:spacing w:val="-10"/>
        </w:rPr>
        <w:t xml:space="preserve"> </w:t>
      </w:r>
      <w:r>
        <w:t>high</w:t>
      </w:r>
      <w:r>
        <w:rPr>
          <w:spacing w:val="-11"/>
        </w:rPr>
        <w:t xml:space="preserve"> </w:t>
      </w:r>
      <w:r>
        <w:t>quality</w:t>
      </w:r>
      <w:r>
        <w:rPr>
          <w:spacing w:val="-10"/>
        </w:rPr>
        <w:t xml:space="preserve"> </w:t>
      </w:r>
      <w:r>
        <w:t>products</w:t>
      </w:r>
      <w:r>
        <w:rPr>
          <w:spacing w:val="-7"/>
        </w:rPr>
        <w:t xml:space="preserve"> </w:t>
      </w:r>
      <w:r>
        <w:t>and</w:t>
      </w:r>
      <w:r>
        <w:rPr>
          <w:spacing w:val="-4"/>
        </w:rPr>
        <w:t xml:space="preserve"> </w:t>
      </w:r>
      <w:r>
        <w:t>services</w:t>
      </w:r>
      <w:r>
        <w:rPr>
          <w:spacing w:val="-8"/>
        </w:rPr>
        <w:t xml:space="preserve"> </w:t>
      </w:r>
      <w:r>
        <w:t>while</w:t>
      </w:r>
      <w:r>
        <w:rPr>
          <w:spacing w:val="-3"/>
        </w:rPr>
        <w:t xml:space="preserve"> </w:t>
      </w:r>
      <w:r>
        <w:t>meeting</w:t>
      </w:r>
      <w:r>
        <w:rPr>
          <w:spacing w:val="-5"/>
        </w:rPr>
        <w:t xml:space="preserve"> </w:t>
      </w:r>
      <w:r>
        <w:t>the</w:t>
      </w:r>
      <w:r>
        <w:rPr>
          <w:spacing w:val="-11"/>
        </w:rPr>
        <w:t xml:space="preserve"> </w:t>
      </w:r>
      <w:r>
        <w:t xml:space="preserve">highest ethical and moral standards with respect </w:t>
      </w:r>
      <w:r>
        <w:rPr>
          <w:spacing w:val="-4"/>
        </w:rPr>
        <w:t xml:space="preserve">to </w:t>
      </w:r>
      <w:r>
        <w:t>responsible sourcing. We are fully committed to follow appropriate standards apply for human rights, labor standards, environmental impact, and business ethics to attain a responsible supply</w:t>
      </w:r>
      <w:r>
        <w:rPr>
          <w:spacing w:val="-6"/>
        </w:rPr>
        <w:t xml:space="preserve"> </w:t>
      </w:r>
      <w:r>
        <w:t>chain.</w:t>
      </w:r>
    </w:p>
    <w:p w:rsidR="00830D1D" w:rsidRDefault="00830D1D" w:rsidP="00830D1D">
      <w:pPr>
        <w:pStyle w:val="BodyText"/>
        <w:spacing w:before="1"/>
        <w:ind w:left="0"/>
      </w:pPr>
    </w:p>
    <w:p w:rsidR="00830D1D" w:rsidRDefault="00830D1D" w:rsidP="00830D1D">
      <w:pPr>
        <w:pStyle w:val="BodyText"/>
        <w:ind w:right="110"/>
        <w:jc w:val="both"/>
      </w:pPr>
      <w:r>
        <w:t>BEST METAL TRADING FZE</w:t>
      </w:r>
      <w:r>
        <w:t xml:space="preserve"> understand that Gold and Platinum Group Metals ( Platinum,</w:t>
      </w:r>
      <w:r>
        <w:rPr>
          <w:spacing w:val="-15"/>
        </w:rPr>
        <w:t xml:space="preserve"> </w:t>
      </w:r>
      <w:r>
        <w:t>Palladium</w:t>
      </w:r>
      <w:r>
        <w:rPr>
          <w:spacing w:val="-17"/>
        </w:rPr>
        <w:t xml:space="preserve"> </w:t>
      </w:r>
      <w:r>
        <w:t>and</w:t>
      </w:r>
      <w:r>
        <w:rPr>
          <w:spacing w:val="-20"/>
        </w:rPr>
        <w:t xml:space="preserve"> </w:t>
      </w:r>
      <w:r>
        <w:t>Rhodium)</w:t>
      </w:r>
      <w:r>
        <w:rPr>
          <w:spacing w:val="-19"/>
        </w:rPr>
        <w:t xml:space="preserve"> </w:t>
      </w:r>
      <w:r>
        <w:t>recognizing</w:t>
      </w:r>
      <w:r>
        <w:rPr>
          <w:spacing w:val="-16"/>
        </w:rPr>
        <w:t xml:space="preserve"> </w:t>
      </w:r>
      <w:r>
        <w:t>that</w:t>
      </w:r>
      <w:r>
        <w:rPr>
          <w:spacing w:val="-18"/>
        </w:rPr>
        <w:t xml:space="preserve"> </w:t>
      </w:r>
      <w:r>
        <w:t>risk</w:t>
      </w:r>
      <w:r>
        <w:rPr>
          <w:spacing w:val="-20"/>
        </w:rPr>
        <w:t xml:space="preserve"> </w:t>
      </w:r>
      <w:r>
        <w:t>of</w:t>
      </w:r>
      <w:r>
        <w:rPr>
          <w:spacing w:val="-19"/>
        </w:rPr>
        <w:t xml:space="preserve"> </w:t>
      </w:r>
      <w:r>
        <w:t>significant</w:t>
      </w:r>
      <w:r>
        <w:rPr>
          <w:spacing w:val="-18"/>
        </w:rPr>
        <w:t xml:space="preserve"> </w:t>
      </w:r>
      <w:r>
        <w:t>adverse</w:t>
      </w:r>
      <w:r>
        <w:rPr>
          <w:spacing w:val="-20"/>
        </w:rPr>
        <w:t xml:space="preserve"> </w:t>
      </w:r>
      <w:r>
        <w:t xml:space="preserve">impact which may be associated with extraction, trading, handling, and exporting minerals from conflict-affected and high-risk areas, and recognizing that we have the responsibility to respect human rights and </w:t>
      </w:r>
      <w:r>
        <w:rPr>
          <w:spacing w:val="-3"/>
        </w:rPr>
        <w:t xml:space="preserve">not </w:t>
      </w:r>
      <w:r>
        <w:t>contribute to conflict, we commit to adopt, widely disseminate and incorporate in contracts and/or agreements with supplier the following policy on responsible sourcing of minerals from conflict- affected</w:t>
      </w:r>
      <w:r>
        <w:rPr>
          <w:spacing w:val="-10"/>
        </w:rPr>
        <w:t xml:space="preserve"> </w:t>
      </w:r>
      <w:r>
        <w:t>and</w:t>
      </w:r>
      <w:r>
        <w:rPr>
          <w:spacing w:val="-9"/>
        </w:rPr>
        <w:t xml:space="preserve"> </w:t>
      </w:r>
      <w:r>
        <w:t>high-risk</w:t>
      </w:r>
      <w:r>
        <w:rPr>
          <w:spacing w:val="-10"/>
        </w:rPr>
        <w:t xml:space="preserve"> </w:t>
      </w:r>
      <w:r>
        <w:t>areas,</w:t>
      </w:r>
      <w:r>
        <w:rPr>
          <w:spacing w:val="-9"/>
        </w:rPr>
        <w:t xml:space="preserve"> </w:t>
      </w:r>
      <w:r>
        <w:t>as</w:t>
      </w:r>
      <w:r>
        <w:rPr>
          <w:spacing w:val="-12"/>
        </w:rPr>
        <w:t xml:space="preserve"> </w:t>
      </w:r>
      <w:r>
        <w:t>representing</w:t>
      </w:r>
      <w:r>
        <w:rPr>
          <w:spacing w:val="-10"/>
        </w:rPr>
        <w:t xml:space="preserve"> </w:t>
      </w:r>
      <w:r>
        <w:t>a</w:t>
      </w:r>
      <w:r>
        <w:rPr>
          <w:spacing w:val="-14"/>
        </w:rPr>
        <w:t xml:space="preserve"> </w:t>
      </w:r>
      <w:r>
        <w:t>common</w:t>
      </w:r>
      <w:r>
        <w:rPr>
          <w:spacing w:val="-11"/>
        </w:rPr>
        <w:t xml:space="preserve"> </w:t>
      </w:r>
      <w:r>
        <w:t>reference</w:t>
      </w:r>
      <w:r>
        <w:rPr>
          <w:spacing w:val="-10"/>
        </w:rPr>
        <w:t xml:space="preserve"> </w:t>
      </w:r>
      <w:r>
        <w:t>for</w:t>
      </w:r>
      <w:r>
        <w:rPr>
          <w:spacing w:val="-10"/>
        </w:rPr>
        <w:t xml:space="preserve"> </w:t>
      </w:r>
      <w:r>
        <w:t>conflict-sensitive sourcing practice and supplier’s risk awareness from the point of extraction until end user. We commit to refraining from any action which contributes to the financing of conflict and we commit to comply with relevant United Nation sanction resolutions or, where applicable, domestic laws implementing such</w:t>
      </w:r>
      <w:r>
        <w:rPr>
          <w:spacing w:val="3"/>
        </w:rPr>
        <w:t xml:space="preserve"> </w:t>
      </w:r>
      <w:r>
        <w:softHyphen/>
      </w:r>
      <w:r>
        <w:softHyphen/>
      </w:r>
      <w:r>
        <w:softHyphen/>
      </w:r>
      <w:r>
        <w:softHyphen/>
      </w:r>
      <w:r>
        <w:softHyphen/>
        <w:t>.</w:t>
      </w:r>
    </w:p>
    <w:p w:rsidR="00830D1D" w:rsidRDefault="00830D1D" w:rsidP="00830D1D">
      <w:pPr>
        <w:pStyle w:val="BodyText"/>
        <w:spacing w:before="10"/>
        <w:ind w:left="0"/>
        <w:rPr>
          <w:sz w:val="23"/>
        </w:rPr>
      </w:pPr>
    </w:p>
    <w:p w:rsidR="00830D1D" w:rsidRDefault="00830D1D" w:rsidP="00830D1D">
      <w:pPr>
        <w:pStyle w:val="BodyText"/>
        <w:ind w:right="111"/>
        <w:jc w:val="both"/>
      </w:pPr>
      <w:r>
        <w:t xml:space="preserve">We strongly recommend our suppliers to operate in accordance with the OECD, RJC </w:t>
      </w:r>
      <w:proofErr w:type="spellStart"/>
      <w:r>
        <w:t>CoC</w:t>
      </w:r>
      <w:proofErr w:type="spellEnd"/>
      <w:r>
        <w:t xml:space="preserve"> Standard for Precious Metals Supply Chain, the LBMA Responsible Gold Guidance and DMCC Rules for Risk Based Due Diligence in the Gold and Precious Metals Supply Chain.</w:t>
      </w:r>
    </w:p>
    <w:p w:rsidR="00830D1D" w:rsidRDefault="00830D1D" w:rsidP="00830D1D">
      <w:pPr>
        <w:pStyle w:val="BodyText"/>
        <w:spacing w:before="2"/>
        <w:ind w:left="0"/>
      </w:pPr>
    </w:p>
    <w:p w:rsidR="00830D1D" w:rsidRDefault="00830D1D" w:rsidP="00830D1D">
      <w:pPr>
        <w:pStyle w:val="BodyText"/>
        <w:spacing w:line="298" w:lineRule="exact"/>
        <w:jc w:val="both"/>
      </w:pPr>
      <w:r>
        <w:t xml:space="preserve">As a part of our responsibility, </w:t>
      </w:r>
      <w:r>
        <w:t>BEST METAL TRADING FZE</w:t>
      </w:r>
      <w:r>
        <w:t xml:space="preserve"> is committed to:</w:t>
      </w:r>
    </w:p>
    <w:p w:rsidR="00830D1D" w:rsidRDefault="00830D1D" w:rsidP="00830D1D">
      <w:pPr>
        <w:pStyle w:val="BodyText"/>
        <w:spacing w:line="298" w:lineRule="exact"/>
        <w:jc w:val="both"/>
      </w:pPr>
    </w:p>
    <w:p w:rsidR="00830D1D" w:rsidRDefault="00830D1D" w:rsidP="00830D1D">
      <w:pPr>
        <w:pStyle w:val="ListParagraph"/>
        <w:numPr>
          <w:ilvl w:val="0"/>
          <w:numId w:val="2"/>
        </w:numPr>
        <w:tabs>
          <w:tab w:val="left" w:pos="379"/>
        </w:tabs>
        <w:spacing w:line="242" w:lineRule="auto"/>
        <w:ind w:right="120" w:firstLine="0"/>
        <w:rPr>
          <w:sz w:val="24"/>
        </w:rPr>
      </w:pPr>
      <w:r>
        <w:rPr>
          <w:sz w:val="24"/>
        </w:rPr>
        <w:t>Neither gain nor be a part of, assist and facilitate any transactions arising from serious abuses such as inhuman and degrading practices, force and child labor, any forms of human rights violations and all forms of criminal</w:t>
      </w:r>
      <w:r>
        <w:rPr>
          <w:spacing w:val="2"/>
          <w:sz w:val="24"/>
        </w:rPr>
        <w:t xml:space="preserve"> </w:t>
      </w:r>
      <w:r>
        <w:rPr>
          <w:sz w:val="24"/>
        </w:rPr>
        <w:t>activities.</w:t>
      </w:r>
    </w:p>
    <w:p w:rsidR="00830D1D" w:rsidRDefault="00830D1D" w:rsidP="00830D1D">
      <w:pPr>
        <w:pStyle w:val="ListParagraph"/>
        <w:tabs>
          <w:tab w:val="left" w:pos="379"/>
        </w:tabs>
        <w:spacing w:line="242" w:lineRule="auto"/>
        <w:ind w:right="120"/>
        <w:jc w:val="left"/>
        <w:rPr>
          <w:sz w:val="24"/>
        </w:rPr>
      </w:pPr>
    </w:p>
    <w:p w:rsidR="00830D1D" w:rsidRDefault="00830D1D" w:rsidP="00830D1D">
      <w:pPr>
        <w:pStyle w:val="ListParagraph"/>
        <w:numPr>
          <w:ilvl w:val="0"/>
          <w:numId w:val="1"/>
        </w:numPr>
        <w:tabs>
          <w:tab w:val="left" w:pos="245"/>
        </w:tabs>
        <w:ind w:firstLine="0"/>
        <w:rPr>
          <w:sz w:val="24"/>
        </w:rPr>
      </w:pPr>
      <w:r>
        <w:rPr>
          <w:sz w:val="24"/>
        </w:rPr>
        <w:t>Immediately</w:t>
      </w:r>
      <w:r>
        <w:rPr>
          <w:spacing w:val="-10"/>
          <w:sz w:val="24"/>
        </w:rPr>
        <w:t xml:space="preserve"> </w:t>
      </w:r>
      <w:r>
        <w:rPr>
          <w:sz w:val="24"/>
        </w:rPr>
        <w:t>discontinue</w:t>
      </w:r>
      <w:r>
        <w:rPr>
          <w:spacing w:val="-5"/>
          <w:sz w:val="24"/>
        </w:rPr>
        <w:t xml:space="preserve"> </w:t>
      </w:r>
      <w:r>
        <w:rPr>
          <w:sz w:val="24"/>
        </w:rPr>
        <w:t>dealing</w:t>
      </w:r>
      <w:r>
        <w:rPr>
          <w:spacing w:val="-5"/>
          <w:sz w:val="24"/>
        </w:rPr>
        <w:t xml:space="preserve"> </w:t>
      </w:r>
      <w:r>
        <w:rPr>
          <w:sz w:val="24"/>
        </w:rPr>
        <w:t>with</w:t>
      </w:r>
      <w:r>
        <w:rPr>
          <w:spacing w:val="-2"/>
          <w:sz w:val="24"/>
        </w:rPr>
        <w:t xml:space="preserve"> </w:t>
      </w:r>
      <w:r>
        <w:rPr>
          <w:sz w:val="24"/>
        </w:rPr>
        <w:t>our</w:t>
      </w:r>
      <w:r>
        <w:rPr>
          <w:spacing w:val="-5"/>
          <w:sz w:val="24"/>
        </w:rPr>
        <w:t xml:space="preserve"> </w:t>
      </w:r>
      <w:r>
        <w:rPr>
          <w:sz w:val="24"/>
        </w:rPr>
        <w:t>suppliers</w:t>
      </w:r>
      <w:r>
        <w:rPr>
          <w:spacing w:val="-6"/>
          <w:sz w:val="24"/>
        </w:rPr>
        <w:t xml:space="preserve"> </w:t>
      </w:r>
      <w:r>
        <w:rPr>
          <w:sz w:val="24"/>
        </w:rPr>
        <w:t>where</w:t>
      </w:r>
      <w:r>
        <w:rPr>
          <w:spacing w:val="-5"/>
          <w:sz w:val="24"/>
        </w:rPr>
        <w:t xml:space="preserve"> </w:t>
      </w:r>
      <w:r>
        <w:rPr>
          <w:sz w:val="24"/>
        </w:rPr>
        <w:t>we</w:t>
      </w:r>
      <w:r>
        <w:rPr>
          <w:spacing w:val="-9"/>
          <w:sz w:val="24"/>
        </w:rPr>
        <w:t xml:space="preserve"> </w:t>
      </w:r>
      <w:r>
        <w:rPr>
          <w:sz w:val="24"/>
        </w:rPr>
        <w:t>identify</w:t>
      </w:r>
      <w:r>
        <w:rPr>
          <w:spacing w:val="-5"/>
          <w:sz w:val="24"/>
        </w:rPr>
        <w:t xml:space="preserve"> </w:t>
      </w:r>
      <w:r>
        <w:rPr>
          <w:sz w:val="24"/>
        </w:rPr>
        <w:t>a</w:t>
      </w:r>
      <w:r>
        <w:rPr>
          <w:spacing w:val="-5"/>
          <w:sz w:val="24"/>
        </w:rPr>
        <w:t xml:space="preserve"> </w:t>
      </w:r>
      <w:r>
        <w:rPr>
          <w:sz w:val="24"/>
        </w:rPr>
        <w:t>reasonable risk that their source is from, or linked to, any party committing serious abuses as defined</w:t>
      </w:r>
      <w:r>
        <w:rPr>
          <w:spacing w:val="3"/>
          <w:sz w:val="24"/>
        </w:rPr>
        <w:t xml:space="preserve"> </w:t>
      </w:r>
      <w:r>
        <w:rPr>
          <w:sz w:val="24"/>
        </w:rPr>
        <w:t>above.</w:t>
      </w:r>
    </w:p>
    <w:p w:rsidR="00830D1D" w:rsidRDefault="00830D1D" w:rsidP="00830D1D">
      <w:pPr>
        <w:pStyle w:val="BodyText"/>
        <w:spacing w:before="4"/>
        <w:ind w:left="0"/>
        <w:rPr>
          <w:sz w:val="23"/>
        </w:rPr>
      </w:pPr>
    </w:p>
    <w:p w:rsidR="00830D1D" w:rsidRDefault="00830D1D" w:rsidP="00830D1D">
      <w:pPr>
        <w:pStyle w:val="ListParagraph"/>
        <w:numPr>
          <w:ilvl w:val="0"/>
          <w:numId w:val="2"/>
        </w:numPr>
        <w:tabs>
          <w:tab w:val="left" w:pos="388"/>
        </w:tabs>
        <w:spacing w:before="1"/>
        <w:ind w:right="114" w:firstLine="0"/>
        <w:jc w:val="both"/>
        <w:rPr>
          <w:sz w:val="24"/>
        </w:rPr>
      </w:pPr>
      <w:r>
        <w:rPr>
          <w:sz w:val="24"/>
        </w:rPr>
        <w:t>Not tolerate any of its suppliers which directly or indirectly support non-state armed</w:t>
      </w:r>
      <w:r>
        <w:rPr>
          <w:spacing w:val="-5"/>
          <w:sz w:val="24"/>
        </w:rPr>
        <w:t xml:space="preserve"> </w:t>
      </w:r>
      <w:r>
        <w:rPr>
          <w:sz w:val="24"/>
        </w:rPr>
        <w:t>groups</w:t>
      </w:r>
      <w:r>
        <w:rPr>
          <w:spacing w:val="-8"/>
          <w:sz w:val="24"/>
        </w:rPr>
        <w:t xml:space="preserve"> </w:t>
      </w:r>
      <w:r>
        <w:rPr>
          <w:sz w:val="24"/>
        </w:rPr>
        <w:t>through</w:t>
      </w:r>
      <w:r>
        <w:rPr>
          <w:spacing w:val="-7"/>
          <w:sz w:val="24"/>
        </w:rPr>
        <w:t xml:space="preserve"> </w:t>
      </w:r>
      <w:r>
        <w:rPr>
          <w:sz w:val="24"/>
        </w:rPr>
        <w:t>the</w:t>
      </w:r>
      <w:r>
        <w:rPr>
          <w:spacing w:val="-6"/>
          <w:sz w:val="24"/>
        </w:rPr>
        <w:t xml:space="preserve"> </w:t>
      </w:r>
      <w:r>
        <w:rPr>
          <w:sz w:val="24"/>
        </w:rPr>
        <w:t>extraction,</w:t>
      </w:r>
      <w:r>
        <w:rPr>
          <w:spacing w:val="-10"/>
          <w:sz w:val="24"/>
        </w:rPr>
        <w:t xml:space="preserve"> </w:t>
      </w:r>
      <w:r>
        <w:rPr>
          <w:sz w:val="24"/>
        </w:rPr>
        <w:t>transport,</w:t>
      </w:r>
      <w:r>
        <w:rPr>
          <w:spacing w:val="-5"/>
          <w:sz w:val="24"/>
        </w:rPr>
        <w:t xml:space="preserve"> </w:t>
      </w:r>
      <w:r>
        <w:rPr>
          <w:sz w:val="24"/>
        </w:rPr>
        <w:t>trade,</w:t>
      </w:r>
      <w:r>
        <w:rPr>
          <w:spacing w:val="-5"/>
          <w:sz w:val="24"/>
        </w:rPr>
        <w:t xml:space="preserve"> </w:t>
      </w:r>
      <w:r>
        <w:rPr>
          <w:sz w:val="24"/>
        </w:rPr>
        <w:t>handling</w:t>
      </w:r>
      <w:r>
        <w:rPr>
          <w:spacing w:val="-10"/>
          <w:sz w:val="24"/>
        </w:rPr>
        <w:t xml:space="preserve"> </w:t>
      </w:r>
      <w:r>
        <w:rPr>
          <w:sz w:val="24"/>
        </w:rPr>
        <w:t>or</w:t>
      </w:r>
      <w:r>
        <w:rPr>
          <w:spacing w:val="-6"/>
          <w:sz w:val="24"/>
        </w:rPr>
        <w:t xml:space="preserve"> </w:t>
      </w:r>
      <w:r>
        <w:rPr>
          <w:sz w:val="24"/>
        </w:rPr>
        <w:t>export</w:t>
      </w:r>
      <w:r>
        <w:rPr>
          <w:spacing w:val="-8"/>
          <w:sz w:val="24"/>
        </w:rPr>
        <w:t xml:space="preserve"> </w:t>
      </w:r>
      <w:r>
        <w:rPr>
          <w:spacing w:val="-4"/>
          <w:sz w:val="24"/>
        </w:rPr>
        <w:t xml:space="preserve">of </w:t>
      </w:r>
      <w:r>
        <w:rPr>
          <w:sz w:val="24"/>
        </w:rPr>
        <w:t>minerals which includes, but is not limited to, procuring minerals from, making payments to or otherwise providing logistical assistance or equipment to, non-state armed groups or their affiliates</w:t>
      </w:r>
      <w:r>
        <w:rPr>
          <w:spacing w:val="1"/>
          <w:sz w:val="24"/>
        </w:rPr>
        <w:t xml:space="preserve"> </w:t>
      </w:r>
      <w:r>
        <w:rPr>
          <w:sz w:val="24"/>
        </w:rPr>
        <w:t>who:</w:t>
      </w:r>
    </w:p>
    <w:p w:rsidR="00F04DEC" w:rsidRDefault="00F04DEC"/>
    <w:p w:rsidR="00830D1D" w:rsidRDefault="00830D1D" w:rsidP="00830D1D">
      <w:pPr>
        <w:pStyle w:val="BodyText"/>
        <w:spacing w:before="7"/>
        <w:ind w:left="0"/>
        <w:rPr>
          <w:sz w:val="25"/>
        </w:rPr>
      </w:pPr>
    </w:p>
    <w:p w:rsidR="00830D1D" w:rsidRDefault="00830D1D" w:rsidP="00830D1D">
      <w:pPr>
        <w:pStyle w:val="ListParagraph"/>
        <w:numPr>
          <w:ilvl w:val="0"/>
          <w:numId w:val="4"/>
        </w:numPr>
        <w:tabs>
          <w:tab w:val="left" w:pos="316"/>
        </w:tabs>
        <w:spacing w:before="92"/>
        <w:ind w:right="121" w:firstLine="0"/>
        <w:rPr>
          <w:sz w:val="24"/>
        </w:rPr>
      </w:pPr>
      <w:r>
        <w:rPr>
          <w:sz w:val="24"/>
        </w:rPr>
        <w:t>Illegally control mine sites or otherwise control transportation routes, points</w:t>
      </w:r>
      <w:r>
        <w:rPr>
          <w:spacing w:val="-41"/>
          <w:sz w:val="24"/>
        </w:rPr>
        <w:t xml:space="preserve"> </w:t>
      </w:r>
      <w:r>
        <w:rPr>
          <w:sz w:val="24"/>
        </w:rPr>
        <w:t xml:space="preserve">where minerals are traded and upstream actors in </w:t>
      </w:r>
      <w:r>
        <w:rPr>
          <w:spacing w:val="-3"/>
          <w:sz w:val="24"/>
        </w:rPr>
        <w:t xml:space="preserve">the </w:t>
      </w:r>
      <w:r>
        <w:rPr>
          <w:sz w:val="24"/>
        </w:rPr>
        <w:t>supply chain;</w:t>
      </w:r>
      <w:r>
        <w:rPr>
          <w:spacing w:val="5"/>
          <w:sz w:val="24"/>
        </w:rPr>
        <w:t xml:space="preserve"> </w:t>
      </w:r>
      <w:r>
        <w:rPr>
          <w:sz w:val="24"/>
        </w:rPr>
        <w:t>and/or</w:t>
      </w:r>
    </w:p>
    <w:p w:rsidR="00830D1D" w:rsidRDefault="00830D1D" w:rsidP="00830D1D">
      <w:pPr>
        <w:pStyle w:val="ListParagraph"/>
        <w:tabs>
          <w:tab w:val="left" w:pos="316"/>
        </w:tabs>
        <w:spacing w:before="92"/>
        <w:ind w:right="121"/>
        <w:jc w:val="left"/>
        <w:rPr>
          <w:sz w:val="24"/>
        </w:rPr>
      </w:pPr>
    </w:p>
    <w:p w:rsidR="00830D1D" w:rsidRDefault="00830D1D" w:rsidP="00830D1D">
      <w:pPr>
        <w:pStyle w:val="ListParagraph"/>
        <w:numPr>
          <w:ilvl w:val="0"/>
          <w:numId w:val="4"/>
        </w:numPr>
        <w:tabs>
          <w:tab w:val="left" w:pos="412"/>
        </w:tabs>
        <w:ind w:right="120" w:firstLine="0"/>
        <w:rPr>
          <w:sz w:val="24"/>
        </w:rPr>
      </w:pPr>
      <w:r>
        <w:rPr>
          <w:sz w:val="24"/>
        </w:rPr>
        <w:t>Illegally tax or extort money or minerals at points of access to mine sites, along transportation routes or at points where minerals are traded;</w:t>
      </w:r>
      <w:r>
        <w:rPr>
          <w:spacing w:val="-4"/>
          <w:sz w:val="24"/>
        </w:rPr>
        <w:t xml:space="preserve"> </w:t>
      </w:r>
      <w:r>
        <w:rPr>
          <w:sz w:val="24"/>
        </w:rPr>
        <w:t>and/or</w:t>
      </w:r>
    </w:p>
    <w:p w:rsidR="00830D1D" w:rsidRPr="00830D1D" w:rsidRDefault="00830D1D" w:rsidP="00830D1D">
      <w:pPr>
        <w:pStyle w:val="ListParagraph"/>
        <w:rPr>
          <w:sz w:val="24"/>
        </w:rPr>
      </w:pPr>
    </w:p>
    <w:p w:rsidR="00830D1D" w:rsidRDefault="00830D1D" w:rsidP="00830D1D">
      <w:pPr>
        <w:pStyle w:val="ListParagraph"/>
        <w:tabs>
          <w:tab w:val="left" w:pos="412"/>
        </w:tabs>
        <w:ind w:right="120"/>
        <w:jc w:val="left"/>
        <w:rPr>
          <w:sz w:val="24"/>
        </w:rPr>
      </w:pPr>
    </w:p>
    <w:p w:rsidR="00830D1D" w:rsidRDefault="00830D1D" w:rsidP="00830D1D">
      <w:pPr>
        <w:pStyle w:val="ListParagraph"/>
        <w:numPr>
          <w:ilvl w:val="0"/>
          <w:numId w:val="4"/>
        </w:numPr>
        <w:tabs>
          <w:tab w:val="left" w:pos="412"/>
        </w:tabs>
        <w:ind w:right="120" w:firstLine="0"/>
        <w:rPr>
          <w:sz w:val="24"/>
        </w:rPr>
      </w:pPr>
      <w:r>
        <w:rPr>
          <w:sz w:val="24"/>
        </w:rPr>
        <w:t xml:space="preserve"> </w:t>
      </w:r>
      <w:r>
        <w:rPr>
          <w:sz w:val="24"/>
        </w:rPr>
        <w:t>Illegally tax or extort intermediaries, export companies or</w:t>
      </w:r>
      <w:r w:rsidRPr="00830D1D">
        <w:rPr>
          <w:sz w:val="24"/>
        </w:rPr>
        <w:t xml:space="preserve"> </w:t>
      </w:r>
      <w:r>
        <w:rPr>
          <w:sz w:val="24"/>
        </w:rPr>
        <w:t>international traders.</w:t>
      </w:r>
    </w:p>
    <w:p w:rsidR="00830D1D" w:rsidRDefault="00830D1D" w:rsidP="00830D1D">
      <w:pPr>
        <w:pStyle w:val="ListParagraph"/>
        <w:numPr>
          <w:ilvl w:val="0"/>
          <w:numId w:val="1"/>
        </w:numPr>
        <w:tabs>
          <w:tab w:val="left" w:pos="255"/>
        </w:tabs>
        <w:spacing w:before="236"/>
        <w:ind w:right="117" w:firstLine="0"/>
        <w:rPr>
          <w:sz w:val="24"/>
        </w:rPr>
      </w:pPr>
      <w:r>
        <w:rPr>
          <w:sz w:val="24"/>
        </w:rPr>
        <w:t>Not to accept and directly discontinue transactions with upstream suppliers which were identified as high-risk due to involvement and or participation in any of the above-mentioned</w:t>
      </w:r>
      <w:r>
        <w:rPr>
          <w:spacing w:val="2"/>
          <w:sz w:val="24"/>
        </w:rPr>
        <w:t xml:space="preserve"> </w:t>
      </w:r>
      <w:r>
        <w:rPr>
          <w:sz w:val="24"/>
        </w:rPr>
        <w:t>points.</w:t>
      </w:r>
    </w:p>
    <w:p w:rsidR="00830D1D" w:rsidRDefault="00830D1D" w:rsidP="00830D1D">
      <w:pPr>
        <w:pStyle w:val="ListParagraph"/>
        <w:numPr>
          <w:ilvl w:val="0"/>
          <w:numId w:val="2"/>
        </w:numPr>
        <w:tabs>
          <w:tab w:val="left" w:pos="369"/>
        </w:tabs>
        <w:spacing w:before="201"/>
        <w:ind w:right="115" w:firstLine="0"/>
        <w:jc w:val="both"/>
        <w:rPr>
          <w:sz w:val="24"/>
        </w:rPr>
      </w:pPr>
      <w:r>
        <w:rPr>
          <w:sz w:val="24"/>
        </w:rPr>
        <w:t>Contribute and participate in the promotion of Responsible Sourcing of Precious Metals to our suppliers</w:t>
      </w:r>
      <w:r>
        <w:rPr>
          <w:spacing w:val="-2"/>
          <w:sz w:val="24"/>
        </w:rPr>
        <w:t xml:space="preserve"> </w:t>
      </w:r>
      <w:r>
        <w:rPr>
          <w:sz w:val="24"/>
        </w:rPr>
        <w:t>by:</w:t>
      </w:r>
    </w:p>
    <w:p w:rsidR="00830D1D" w:rsidRDefault="00830D1D" w:rsidP="00830D1D">
      <w:pPr>
        <w:pStyle w:val="ListParagraph"/>
        <w:tabs>
          <w:tab w:val="left" w:pos="369"/>
        </w:tabs>
        <w:spacing w:before="201"/>
        <w:ind w:right="115"/>
        <w:jc w:val="left"/>
        <w:rPr>
          <w:sz w:val="24"/>
        </w:rPr>
      </w:pPr>
    </w:p>
    <w:p w:rsidR="00830D1D" w:rsidRDefault="00830D1D" w:rsidP="00830D1D">
      <w:pPr>
        <w:pStyle w:val="ListParagraph"/>
        <w:numPr>
          <w:ilvl w:val="0"/>
          <w:numId w:val="3"/>
        </w:numPr>
        <w:tabs>
          <w:tab w:val="left" w:pos="312"/>
        </w:tabs>
        <w:ind w:right="116" w:firstLine="0"/>
        <w:jc w:val="both"/>
        <w:rPr>
          <w:sz w:val="24"/>
        </w:rPr>
      </w:pPr>
      <w:r>
        <w:rPr>
          <w:sz w:val="24"/>
        </w:rPr>
        <w:t>Creating a long-term association with</w:t>
      </w:r>
      <w:r>
        <w:rPr>
          <w:spacing w:val="-44"/>
          <w:sz w:val="24"/>
        </w:rPr>
        <w:t xml:space="preserve"> </w:t>
      </w:r>
      <w:r>
        <w:rPr>
          <w:sz w:val="24"/>
        </w:rPr>
        <w:t>suppliers and established strong relationship with our</w:t>
      </w:r>
      <w:r>
        <w:rPr>
          <w:spacing w:val="2"/>
          <w:sz w:val="24"/>
        </w:rPr>
        <w:t xml:space="preserve"> </w:t>
      </w:r>
      <w:r>
        <w:rPr>
          <w:sz w:val="24"/>
        </w:rPr>
        <w:t>customers.</w:t>
      </w:r>
    </w:p>
    <w:p w:rsidR="00830D1D" w:rsidRDefault="00830D1D" w:rsidP="00830D1D">
      <w:pPr>
        <w:pStyle w:val="ListParagraph"/>
        <w:tabs>
          <w:tab w:val="left" w:pos="312"/>
        </w:tabs>
        <w:ind w:right="116"/>
        <w:rPr>
          <w:sz w:val="24"/>
        </w:rPr>
      </w:pPr>
    </w:p>
    <w:p w:rsidR="00830D1D" w:rsidRDefault="00830D1D" w:rsidP="00830D1D">
      <w:pPr>
        <w:pStyle w:val="ListParagraph"/>
        <w:numPr>
          <w:ilvl w:val="0"/>
          <w:numId w:val="3"/>
        </w:numPr>
        <w:tabs>
          <w:tab w:val="left" w:pos="407"/>
        </w:tabs>
        <w:spacing w:line="244" w:lineRule="auto"/>
        <w:ind w:firstLine="0"/>
        <w:jc w:val="both"/>
        <w:rPr>
          <w:sz w:val="24"/>
        </w:rPr>
      </w:pPr>
      <w:r>
        <w:rPr>
          <w:sz w:val="24"/>
        </w:rPr>
        <w:t>Supporting our suppliers of precious metals to adhere with the provision of this policy</w:t>
      </w:r>
      <w:r>
        <w:rPr>
          <w:spacing w:val="-9"/>
          <w:sz w:val="24"/>
        </w:rPr>
        <w:t xml:space="preserve"> </w:t>
      </w:r>
      <w:r>
        <w:rPr>
          <w:sz w:val="24"/>
        </w:rPr>
        <w:t>and</w:t>
      </w:r>
      <w:r>
        <w:rPr>
          <w:spacing w:val="-12"/>
          <w:sz w:val="24"/>
        </w:rPr>
        <w:t xml:space="preserve"> </w:t>
      </w:r>
      <w:r>
        <w:rPr>
          <w:sz w:val="24"/>
        </w:rPr>
        <w:t>encourage</w:t>
      </w:r>
      <w:r>
        <w:rPr>
          <w:spacing w:val="-8"/>
          <w:sz w:val="24"/>
        </w:rPr>
        <w:t xml:space="preserve"> </w:t>
      </w:r>
      <w:r>
        <w:rPr>
          <w:sz w:val="24"/>
        </w:rPr>
        <w:t>them</w:t>
      </w:r>
      <w:r>
        <w:rPr>
          <w:spacing w:val="-11"/>
          <w:sz w:val="24"/>
        </w:rPr>
        <w:t xml:space="preserve"> </w:t>
      </w:r>
      <w:r>
        <w:rPr>
          <w:sz w:val="24"/>
        </w:rPr>
        <w:t>to</w:t>
      </w:r>
      <w:r>
        <w:rPr>
          <w:spacing w:val="-10"/>
          <w:sz w:val="24"/>
        </w:rPr>
        <w:t xml:space="preserve"> </w:t>
      </w:r>
      <w:r>
        <w:rPr>
          <w:sz w:val="24"/>
        </w:rPr>
        <w:t>impart</w:t>
      </w:r>
      <w:r>
        <w:rPr>
          <w:spacing w:val="-10"/>
          <w:sz w:val="24"/>
        </w:rPr>
        <w:t xml:space="preserve"> </w:t>
      </w:r>
      <w:r>
        <w:rPr>
          <w:sz w:val="24"/>
        </w:rPr>
        <w:t>or</w:t>
      </w:r>
      <w:r>
        <w:rPr>
          <w:spacing w:val="-9"/>
          <w:sz w:val="24"/>
        </w:rPr>
        <w:t xml:space="preserve"> </w:t>
      </w:r>
      <w:r>
        <w:rPr>
          <w:sz w:val="24"/>
        </w:rPr>
        <w:t>convey</w:t>
      </w:r>
      <w:r>
        <w:rPr>
          <w:spacing w:val="-8"/>
          <w:sz w:val="24"/>
        </w:rPr>
        <w:t xml:space="preserve"> </w:t>
      </w:r>
      <w:r>
        <w:rPr>
          <w:sz w:val="24"/>
        </w:rPr>
        <w:t>it</w:t>
      </w:r>
      <w:r>
        <w:rPr>
          <w:spacing w:val="-10"/>
          <w:sz w:val="24"/>
        </w:rPr>
        <w:t xml:space="preserve"> </w:t>
      </w:r>
      <w:r>
        <w:rPr>
          <w:sz w:val="24"/>
        </w:rPr>
        <w:t>to</w:t>
      </w:r>
      <w:r>
        <w:rPr>
          <w:spacing w:val="-11"/>
          <w:sz w:val="24"/>
        </w:rPr>
        <w:t xml:space="preserve"> </w:t>
      </w:r>
      <w:r>
        <w:rPr>
          <w:sz w:val="24"/>
        </w:rPr>
        <w:t>its</w:t>
      </w:r>
      <w:r>
        <w:rPr>
          <w:spacing w:val="-10"/>
          <w:sz w:val="24"/>
        </w:rPr>
        <w:t xml:space="preserve"> </w:t>
      </w:r>
      <w:r>
        <w:rPr>
          <w:sz w:val="24"/>
        </w:rPr>
        <w:t>staff</w:t>
      </w:r>
      <w:r>
        <w:rPr>
          <w:spacing w:val="-12"/>
          <w:sz w:val="24"/>
        </w:rPr>
        <w:t xml:space="preserve"> </w:t>
      </w:r>
      <w:r>
        <w:rPr>
          <w:sz w:val="24"/>
        </w:rPr>
        <w:t>and</w:t>
      </w:r>
      <w:r>
        <w:rPr>
          <w:spacing w:val="-8"/>
          <w:sz w:val="24"/>
        </w:rPr>
        <w:t xml:space="preserve"> </w:t>
      </w:r>
      <w:r>
        <w:rPr>
          <w:sz w:val="24"/>
        </w:rPr>
        <w:t>their</w:t>
      </w:r>
      <w:r>
        <w:rPr>
          <w:spacing w:val="-8"/>
          <w:sz w:val="24"/>
        </w:rPr>
        <w:t xml:space="preserve"> </w:t>
      </w:r>
      <w:r>
        <w:rPr>
          <w:sz w:val="24"/>
        </w:rPr>
        <w:t>supply</w:t>
      </w:r>
      <w:r>
        <w:rPr>
          <w:spacing w:val="-13"/>
          <w:sz w:val="24"/>
        </w:rPr>
        <w:t xml:space="preserve"> </w:t>
      </w:r>
      <w:r>
        <w:rPr>
          <w:sz w:val="24"/>
        </w:rPr>
        <w:t>chain.</w:t>
      </w:r>
    </w:p>
    <w:p w:rsidR="00830D1D" w:rsidRPr="00830D1D" w:rsidRDefault="00830D1D" w:rsidP="00830D1D">
      <w:pPr>
        <w:pStyle w:val="ListParagraph"/>
        <w:rPr>
          <w:sz w:val="24"/>
        </w:rPr>
      </w:pPr>
    </w:p>
    <w:p w:rsidR="00830D1D" w:rsidRDefault="00830D1D" w:rsidP="00830D1D">
      <w:pPr>
        <w:pStyle w:val="ListParagraph"/>
        <w:numPr>
          <w:ilvl w:val="0"/>
          <w:numId w:val="3"/>
        </w:numPr>
        <w:tabs>
          <w:tab w:val="left" w:pos="455"/>
        </w:tabs>
        <w:ind w:firstLine="0"/>
        <w:jc w:val="both"/>
        <w:rPr>
          <w:sz w:val="24"/>
        </w:rPr>
      </w:pPr>
      <w:r>
        <w:rPr>
          <w:sz w:val="24"/>
        </w:rPr>
        <w:t xml:space="preserve">Disseminating the precious metal gold guidance by local and international bodies in which this policy was created such as the </w:t>
      </w:r>
      <w:r>
        <w:rPr>
          <w:spacing w:val="-3"/>
          <w:sz w:val="24"/>
        </w:rPr>
        <w:t xml:space="preserve">RJC, </w:t>
      </w:r>
      <w:r>
        <w:rPr>
          <w:sz w:val="24"/>
        </w:rPr>
        <w:t>DMCC, LBMA and</w:t>
      </w:r>
      <w:r>
        <w:rPr>
          <w:spacing w:val="-2"/>
          <w:sz w:val="24"/>
        </w:rPr>
        <w:t xml:space="preserve"> </w:t>
      </w:r>
      <w:r>
        <w:rPr>
          <w:sz w:val="24"/>
        </w:rPr>
        <w:t>OECD.</w:t>
      </w:r>
    </w:p>
    <w:p w:rsidR="00830D1D" w:rsidRDefault="00830D1D" w:rsidP="00830D1D">
      <w:pPr>
        <w:pStyle w:val="ListParagraph"/>
        <w:numPr>
          <w:ilvl w:val="0"/>
          <w:numId w:val="2"/>
        </w:numPr>
        <w:tabs>
          <w:tab w:val="left" w:pos="350"/>
        </w:tabs>
        <w:spacing w:before="184"/>
        <w:ind w:firstLine="0"/>
        <w:jc w:val="both"/>
        <w:rPr>
          <w:sz w:val="24"/>
        </w:rPr>
      </w:pPr>
      <w:r>
        <w:rPr>
          <w:sz w:val="24"/>
        </w:rPr>
        <w:t>Not to offer, promise, give or demand any bribes, and will resist the solicitation of bribes to conceal or disguise the origin of precious metals to misrepresent taxes, fees and royalties paid to governments for the purposes of extraction, trade, handling, transport and</w:t>
      </w:r>
      <w:r>
        <w:rPr>
          <w:spacing w:val="2"/>
          <w:sz w:val="24"/>
        </w:rPr>
        <w:t xml:space="preserve"> </w:t>
      </w:r>
      <w:r>
        <w:rPr>
          <w:sz w:val="24"/>
        </w:rPr>
        <w:t>export.</w:t>
      </w:r>
    </w:p>
    <w:p w:rsidR="00830D1D" w:rsidRDefault="00830D1D" w:rsidP="00830D1D">
      <w:pPr>
        <w:pStyle w:val="ListParagraph"/>
        <w:numPr>
          <w:ilvl w:val="0"/>
          <w:numId w:val="2"/>
        </w:numPr>
        <w:tabs>
          <w:tab w:val="left" w:pos="412"/>
        </w:tabs>
        <w:spacing w:before="200" w:line="242" w:lineRule="auto"/>
        <w:ind w:right="118" w:firstLine="0"/>
        <w:jc w:val="both"/>
        <w:rPr>
          <w:sz w:val="24"/>
        </w:rPr>
      </w:pPr>
      <w:r>
        <w:rPr>
          <w:sz w:val="24"/>
        </w:rPr>
        <w:t>Play a part and contribute in elimination of money laundering and terrorist financing by creating a robust management system to act in accordance with the standard of Anti - Money Laundering and Combating Financing</w:t>
      </w:r>
      <w:r>
        <w:rPr>
          <w:spacing w:val="-2"/>
          <w:sz w:val="24"/>
        </w:rPr>
        <w:t xml:space="preserve"> </w:t>
      </w:r>
      <w:r>
        <w:rPr>
          <w:sz w:val="24"/>
        </w:rPr>
        <w:t>Terrorism.</w:t>
      </w:r>
    </w:p>
    <w:p w:rsidR="00891744" w:rsidRDefault="00891744" w:rsidP="00891744">
      <w:pPr>
        <w:pStyle w:val="ListParagraph"/>
        <w:tabs>
          <w:tab w:val="left" w:pos="412"/>
        </w:tabs>
        <w:spacing w:before="200" w:line="242" w:lineRule="auto"/>
        <w:ind w:right="118"/>
        <w:rPr>
          <w:sz w:val="24"/>
        </w:rPr>
      </w:pPr>
    </w:p>
    <w:p w:rsidR="00830D1D" w:rsidRDefault="00830D1D" w:rsidP="00830D1D">
      <w:pPr>
        <w:pStyle w:val="ListParagraph"/>
        <w:numPr>
          <w:ilvl w:val="0"/>
          <w:numId w:val="1"/>
        </w:numPr>
        <w:tabs>
          <w:tab w:val="left" w:pos="255"/>
        </w:tabs>
        <w:ind w:firstLine="0"/>
        <w:rPr>
          <w:sz w:val="24"/>
        </w:rPr>
      </w:pPr>
      <w:r>
        <w:rPr>
          <w:sz w:val="24"/>
        </w:rPr>
        <w:t xml:space="preserve">To inform and report to the relevant authorities any suspicious individual, entities and transactions arising upon implementing </w:t>
      </w:r>
      <w:r>
        <w:rPr>
          <w:spacing w:val="-3"/>
          <w:sz w:val="24"/>
        </w:rPr>
        <w:t xml:space="preserve">the </w:t>
      </w:r>
      <w:r>
        <w:rPr>
          <w:sz w:val="24"/>
        </w:rPr>
        <w:t>provision of this</w:t>
      </w:r>
      <w:r>
        <w:rPr>
          <w:spacing w:val="-2"/>
          <w:sz w:val="24"/>
        </w:rPr>
        <w:t xml:space="preserve"> </w:t>
      </w:r>
      <w:r>
        <w:rPr>
          <w:sz w:val="24"/>
        </w:rPr>
        <w:t>policy.</w:t>
      </w:r>
    </w:p>
    <w:p w:rsidR="00830D1D" w:rsidRDefault="00830D1D" w:rsidP="00830D1D">
      <w:pPr>
        <w:pStyle w:val="ListParagraph"/>
        <w:numPr>
          <w:ilvl w:val="0"/>
          <w:numId w:val="2"/>
        </w:numPr>
        <w:tabs>
          <w:tab w:val="left" w:pos="389"/>
        </w:tabs>
        <w:spacing w:before="190" w:line="242" w:lineRule="auto"/>
        <w:ind w:right="114" w:firstLine="0"/>
        <w:jc w:val="both"/>
        <w:rPr>
          <w:sz w:val="24"/>
        </w:rPr>
      </w:pPr>
      <w:r>
        <w:rPr>
          <w:sz w:val="24"/>
        </w:rPr>
        <w:t>Ensure that effective Due Diligence on a risk-based approach is carried before starting any transactions and continuous monitoring to existing clients to assess the level of risk and plan to mitigate the risk</w:t>
      </w:r>
      <w:r>
        <w:rPr>
          <w:spacing w:val="-7"/>
          <w:sz w:val="24"/>
        </w:rPr>
        <w:t xml:space="preserve"> </w:t>
      </w:r>
      <w:r>
        <w:rPr>
          <w:sz w:val="24"/>
        </w:rPr>
        <w:t>identified.</w:t>
      </w:r>
    </w:p>
    <w:p w:rsidR="00830D1D" w:rsidRDefault="00830D1D" w:rsidP="00830D1D">
      <w:pPr>
        <w:pStyle w:val="ListParagraph"/>
        <w:numPr>
          <w:ilvl w:val="0"/>
          <w:numId w:val="2"/>
        </w:numPr>
        <w:tabs>
          <w:tab w:val="left" w:pos="336"/>
        </w:tabs>
        <w:spacing w:before="191"/>
        <w:ind w:right="123" w:firstLine="0"/>
        <w:rPr>
          <w:sz w:val="24"/>
        </w:rPr>
      </w:pPr>
      <w:r>
        <w:rPr>
          <w:sz w:val="24"/>
        </w:rPr>
        <w:t>Create</w:t>
      </w:r>
      <w:r>
        <w:rPr>
          <w:spacing w:val="-11"/>
          <w:sz w:val="24"/>
        </w:rPr>
        <w:t xml:space="preserve"> </w:t>
      </w:r>
      <w:r>
        <w:rPr>
          <w:sz w:val="24"/>
        </w:rPr>
        <w:t>and</w:t>
      </w:r>
      <w:r>
        <w:rPr>
          <w:spacing w:val="-9"/>
          <w:sz w:val="24"/>
        </w:rPr>
        <w:t xml:space="preserve"> </w:t>
      </w:r>
      <w:r>
        <w:rPr>
          <w:sz w:val="24"/>
        </w:rPr>
        <w:t>keep</w:t>
      </w:r>
      <w:r>
        <w:rPr>
          <w:spacing w:val="-11"/>
          <w:sz w:val="24"/>
        </w:rPr>
        <w:t xml:space="preserve"> </w:t>
      </w:r>
      <w:r>
        <w:rPr>
          <w:sz w:val="24"/>
        </w:rPr>
        <w:t>proper</w:t>
      </w:r>
      <w:r>
        <w:rPr>
          <w:spacing w:val="-10"/>
          <w:sz w:val="24"/>
        </w:rPr>
        <w:t xml:space="preserve"> </w:t>
      </w:r>
      <w:r>
        <w:rPr>
          <w:sz w:val="24"/>
        </w:rPr>
        <w:t>and</w:t>
      </w:r>
      <w:r>
        <w:rPr>
          <w:spacing w:val="-9"/>
          <w:sz w:val="24"/>
        </w:rPr>
        <w:t xml:space="preserve"> </w:t>
      </w:r>
      <w:r>
        <w:rPr>
          <w:sz w:val="24"/>
        </w:rPr>
        <w:t>adequate</w:t>
      </w:r>
      <w:r>
        <w:rPr>
          <w:spacing w:val="-11"/>
          <w:sz w:val="24"/>
        </w:rPr>
        <w:t xml:space="preserve"> </w:t>
      </w:r>
      <w:r>
        <w:rPr>
          <w:sz w:val="24"/>
        </w:rPr>
        <w:t>records</w:t>
      </w:r>
      <w:r>
        <w:rPr>
          <w:spacing w:val="-12"/>
          <w:sz w:val="24"/>
        </w:rPr>
        <w:t xml:space="preserve"> </w:t>
      </w:r>
      <w:r>
        <w:rPr>
          <w:sz w:val="24"/>
        </w:rPr>
        <w:t>of</w:t>
      </w:r>
      <w:r>
        <w:rPr>
          <w:spacing w:val="-9"/>
          <w:sz w:val="24"/>
        </w:rPr>
        <w:t xml:space="preserve"> </w:t>
      </w:r>
      <w:r>
        <w:rPr>
          <w:sz w:val="24"/>
        </w:rPr>
        <w:t>all</w:t>
      </w:r>
      <w:r>
        <w:rPr>
          <w:spacing w:val="-9"/>
          <w:sz w:val="24"/>
        </w:rPr>
        <w:t xml:space="preserve"> </w:t>
      </w:r>
      <w:r>
        <w:rPr>
          <w:sz w:val="24"/>
        </w:rPr>
        <w:t>precious</w:t>
      </w:r>
      <w:r>
        <w:rPr>
          <w:spacing w:val="-13"/>
          <w:sz w:val="24"/>
        </w:rPr>
        <w:t xml:space="preserve"> </w:t>
      </w:r>
      <w:r>
        <w:rPr>
          <w:sz w:val="24"/>
        </w:rPr>
        <w:t>metals</w:t>
      </w:r>
      <w:r>
        <w:rPr>
          <w:spacing w:val="-12"/>
          <w:sz w:val="24"/>
        </w:rPr>
        <w:t xml:space="preserve"> </w:t>
      </w:r>
      <w:r>
        <w:rPr>
          <w:sz w:val="24"/>
        </w:rPr>
        <w:t>transaction</w:t>
      </w:r>
      <w:r>
        <w:rPr>
          <w:spacing w:val="-11"/>
          <w:sz w:val="24"/>
        </w:rPr>
        <w:t xml:space="preserve"> </w:t>
      </w:r>
      <w:r>
        <w:rPr>
          <w:sz w:val="24"/>
        </w:rPr>
        <w:t xml:space="preserve">and </w:t>
      </w:r>
      <w:r>
        <w:rPr>
          <w:sz w:val="24"/>
        </w:rPr>
        <w:lastRenderedPageBreak/>
        <w:t>activities that demonstrates the due diligence has been strictly</w:t>
      </w:r>
      <w:r>
        <w:rPr>
          <w:spacing w:val="-14"/>
          <w:sz w:val="24"/>
        </w:rPr>
        <w:t xml:space="preserve"> </w:t>
      </w:r>
      <w:r>
        <w:rPr>
          <w:sz w:val="24"/>
        </w:rPr>
        <w:t>followed.</w:t>
      </w:r>
    </w:p>
    <w:p w:rsidR="00830D1D" w:rsidRDefault="00830D1D" w:rsidP="00830D1D">
      <w:pPr>
        <w:pStyle w:val="ListParagraph"/>
        <w:numPr>
          <w:ilvl w:val="0"/>
          <w:numId w:val="2"/>
        </w:numPr>
        <w:tabs>
          <w:tab w:val="left" w:pos="345"/>
        </w:tabs>
        <w:spacing w:before="224"/>
        <w:ind w:firstLine="0"/>
        <w:jc w:val="both"/>
        <w:rPr>
          <w:sz w:val="24"/>
        </w:rPr>
      </w:pPr>
      <w:r>
        <w:rPr>
          <w:sz w:val="24"/>
        </w:rPr>
        <w:t>Train relevant staff and educate its employees through formal education, trainings or seminars and conferences with the provision of this policy and the responsible sourcing of precious</w:t>
      </w:r>
      <w:r>
        <w:rPr>
          <w:spacing w:val="4"/>
          <w:sz w:val="24"/>
        </w:rPr>
        <w:t xml:space="preserve"> </w:t>
      </w:r>
      <w:r>
        <w:rPr>
          <w:sz w:val="24"/>
        </w:rPr>
        <w:t>metals.</w:t>
      </w:r>
    </w:p>
    <w:p w:rsidR="00830D1D" w:rsidRDefault="00830D1D"/>
    <w:p w:rsidR="00830D1D" w:rsidRDefault="00830D1D" w:rsidP="00830D1D">
      <w:pPr>
        <w:pStyle w:val="BodyText"/>
        <w:spacing w:before="91"/>
      </w:pPr>
      <w:r>
        <w:t>BEST METAL TRADING FZE</w:t>
      </w:r>
      <w:r>
        <w:t xml:space="preserve"> </w:t>
      </w:r>
      <w:r>
        <w:t>requires</w:t>
      </w:r>
      <w:r>
        <w:t xml:space="preserve"> </w:t>
      </w:r>
      <w:r>
        <w:t>its entire</w:t>
      </w:r>
      <w:r>
        <w:t xml:space="preserve"> staff involved in the precious metals supply chain to strictly comply with this policy and implement it in the management system. </w:t>
      </w:r>
    </w:p>
    <w:p w:rsidR="00830D1D" w:rsidRDefault="00830D1D" w:rsidP="00830D1D">
      <w:pPr>
        <w:pStyle w:val="BodyText"/>
        <w:spacing w:before="91"/>
      </w:pPr>
    </w:p>
    <w:p w:rsidR="00830D1D" w:rsidRDefault="00830D1D" w:rsidP="00830D1D">
      <w:pPr>
        <w:pStyle w:val="BodyText"/>
        <w:spacing w:before="91"/>
      </w:pPr>
      <w:r>
        <w:t>Contact Details:</w:t>
      </w:r>
    </w:p>
    <w:p w:rsidR="00830D1D" w:rsidRDefault="00830D1D" w:rsidP="00830D1D">
      <w:pPr>
        <w:pStyle w:val="BodyText"/>
        <w:spacing w:before="91"/>
      </w:pPr>
    </w:p>
    <w:p w:rsidR="00830D1D" w:rsidRDefault="00830D1D" w:rsidP="00830D1D">
      <w:pPr>
        <w:pStyle w:val="BodyText"/>
        <w:spacing w:line="244" w:lineRule="auto"/>
        <w:ind w:right="115"/>
        <w:jc w:val="both"/>
      </w:pPr>
      <w:r>
        <w:t>For questions and/or concerns related to the supply chain policy, employees, stakeholders, and counterparties can send an email to Acknowledgment:</w:t>
      </w:r>
    </w:p>
    <w:p w:rsidR="00830D1D" w:rsidRDefault="00830D1D" w:rsidP="00830D1D">
      <w:pPr>
        <w:pStyle w:val="BodyText"/>
        <w:ind w:right="111"/>
        <w:jc w:val="both"/>
      </w:pPr>
    </w:p>
    <w:p w:rsidR="00830D1D" w:rsidRDefault="00830D1D" w:rsidP="00830D1D">
      <w:pPr>
        <w:pStyle w:val="BodyText"/>
        <w:ind w:right="111"/>
        <w:jc w:val="both"/>
      </w:pPr>
      <w:r>
        <w:t>We would like to thank the OECD for the Annex II of the OECD Due Diligence Guidance for Responsible Supply Chains of Minerals from Conflict – Affected and High-Risk Areas to which parts of this policy is adapted.</w:t>
      </w:r>
    </w:p>
    <w:p w:rsidR="00830D1D" w:rsidRDefault="00830D1D">
      <w:bookmarkStart w:id="0" w:name="_GoBack"/>
      <w:bookmarkEnd w:id="0"/>
    </w:p>
    <w:sectPr w:rsidR="00830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35968"/>
    <w:multiLevelType w:val="hybridMultilevel"/>
    <w:tmpl w:val="6FEC3E50"/>
    <w:lvl w:ilvl="0" w:tplc="D1DEE188">
      <w:start w:val="1"/>
      <w:numFmt w:val="lowerRoman"/>
      <w:lvlText w:val="%1)"/>
      <w:lvlJc w:val="left"/>
      <w:pPr>
        <w:ind w:left="100" w:hanging="216"/>
        <w:jc w:val="left"/>
      </w:pPr>
      <w:rPr>
        <w:rFonts w:ascii="Book Antiqua" w:eastAsia="Book Antiqua" w:hAnsi="Book Antiqua" w:cs="Book Antiqua" w:hint="default"/>
        <w:spacing w:val="0"/>
        <w:w w:val="100"/>
        <w:sz w:val="24"/>
        <w:szCs w:val="24"/>
        <w:lang w:val="en-US" w:eastAsia="en-US" w:bidi="en-US"/>
      </w:rPr>
    </w:lvl>
    <w:lvl w:ilvl="1" w:tplc="BFFCD9B2">
      <w:numFmt w:val="bullet"/>
      <w:lvlText w:val="•"/>
      <w:lvlJc w:val="left"/>
      <w:pPr>
        <w:ind w:left="1014" w:hanging="216"/>
      </w:pPr>
      <w:rPr>
        <w:rFonts w:hint="default"/>
        <w:lang w:val="en-US" w:eastAsia="en-US" w:bidi="en-US"/>
      </w:rPr>
    </w:lvl>
    <w:lvl w:ilvl="2" w:tplc="108C1AA2">
      <w:numFmt w:val="bullet"/>
      <w:lvlText w:val="•"/>
      <w:lvlJc w:val="left"/>
      <w:pPr>
        <w:ind w:left="1928" w:hanging="216"/>
      </w:pPr>
      <w:rPr>
        <w:rFonts w:hint="default"/>
        <w:lang w:val="en-US" w:eastAsia="en-US" w:bidi="en-US"/>
      </w:rPr>
    </w:lvl>
    <w:lvl w:ilvl="3" w:tplc="117C2F08">
      <w:numFmt w:val="bullet"/>
      <w:lvlText w:val="•"/>
      <w:lvlJc w:val="left"/>
      <w:pPr>
        <w:ind w:left="2843" w:hanging="216"/>
      </w:pPr>
      <w:rPr>
        <w:rFonts w:hint="default"/>
        <w:lang w:val="en-US" w:eastAsia="en-US" w:bidi="en-US"/>
      </w:rPr>
    </w:lvl>
    <w:lvl w:ilvl="4" w:tplc="AA561152">
      <w:numFmt w:val="bullet"/>
      <w:lvlText w:val="•"/>
      <w:lvlJc w:val="left"/>
      <w:pPr>
        <w:ind w:left="3757" w:hanging="216"/>
      </w:pPr>
      <w:rPr>
        <w:rFonts w:hint="default"/>
        <w:lang w:val="en-US" w:eastAsia="en-US" w:bidi="en-US"/>
      </w:rPr>
    </w:lvl>
    <w:lvl w:ilvl="5" w:tplc="B632457A">
      <w:numFmt w:val="bullet"/>
      <w:lvlText w:val="•"/>
      <w:lvlJc w:val="left"/>
      <w:pPr>
        <w:ind w:left="4672" w:hanging="216"/>
      </w:pPr>
      <w:rPr>
        <w:rFonts w:hint="default"/>
        <w:lang w:val="en-US" w:eastAsia="en-US" w:bidi="en-US"/>
      </w:rPr>
    </w:lvl>
    <w:lvl w:ilvl="6" w:tplc="DB086418">
      <w:numFmt w:val="bullet"/>
      <w:lvlText w:val="•"/>
      <w:lvlJc w:val="left"/>
      <w:pPr>
        <w:ind w:left="5586" w:hanging="216"/>
      </w:pPr>
      <w:rPr>
        <w:rFonts w:hint="default"/>
        <w:lang w:val="en-US" w:eastAsia="en-US" w:bidi="en-US"/>
      </w:rPr>
    </w:lvl>
    <w:lvl w:ilvl="7" w:tplc="8C340AD0">
      <w:numFmt w:val="bullet"/>
      <w:lvlText w:val="•"/>
      <w:lvlJc w:val="left"/>
      <w:pPr>
        <w:ind w:left="6500" w:hanging="216"/>
      </w:pPr>
      <w:rPr>
        <w:rFonts w:hint="default"/>
        <w:lang w:val="en-US" w:eastAsia="en-US" w:bidi="en-US"/>
      </w:rPr>
    </w:lvl>
    <w:lvl w:ilvl="8" w:tplc="3416C112">
      <w:numFmt w:val="bullet"/>
      <w:lvlText w:val="•"/>
      <w:lvlJc w:val="left"/>
      <w:pPr>
        <w:ind w:left="7415" w:hanging="216"/>
      </w:pPr>
      <w:rPr>
        <w:rFonts w:hint="default"/>
        <w:lang w:val="en-US" w:eastAsia="en-US" w:bidi="en-US"/>
      </w:rPr>
    </w:lvl>
  </w:abstractNum>
  <w:abstractNum w:abstractNumId="1">
    <w:nsid w:val="40164E03"/>
    <w:multiLevelType w:val="hybridMultilevel"/>
    <w:tmpl w:val="096A96A2"/>
    <w:lvl w:ilvl="0" w:tplc="44608A10">
      <w:numFmt w:val="bullet"/>
      <w:lvlText w:val="-"/>
      <w:lvlJc w:val="left"/>
      <w:pPr>
        <w:ind w:left="100" w:hanging="144"/>
      </w:pPr>
      <w:rPr>
        <w:rFonts w:ascii="Book Antiqua" w:eastAsia="Book Antiqua" w:hAnsi="Book Antiqua" w:cs="Book Antiqua" w:hint="default"/>
        <w:w w:val="100"/>
        <w:sz w:val="24"/>
        <w:szCs w:val="24"/>
        <w:lang w:val="en-US" w:eastAsia="en-US" w:bidi="en-US"/>
      </w:rPr>
    </w:lvl>
    <w:lvl w:ilvl="1" w:tplc="244E175E">
      <w:numFmt w:val="bullet"/>
      <w:lvlText w:val="•"/>
      <w:lvlJc w:val="left"/>
      <w:pPr>
        <w:ind w:left="1014" w:hanging="144"/>
      </w:pPr>
      <w:rPr>
        <w:rFonts w:hint="default"/>
        <w:lang w:val="en-US" w:eastAsia="en-US" w:bidi="en-US"/>
      </w:rPr>
    </w:lvl>
    <w:lvl w:ilvl="2" w:tplc="E5F45512">
      <w:numFmt w:val="bullet"/>
      <w:lvlText w:val="•"/>
      <w:lvlJc w:val="left"/>
      <w:pPr>
        <w:ind w:left="1928" w:hanging="144"/>
      </w:pPr>
      <w:rPr>
        <w:rFonts w:hint="default"/>
        <w:lang w:val="en-US" w:eastAsia="en-US" w:bidi="en-US"/>
      </w:rPr>
    </w:lvl>
    <w:lvl w:ilvl="3" w:tplc="23C6E380">
      <w:numFmt w:val="bullet"/>
      <w:lvlText w:val="•"/>
      <w:lvlJc w:val="left"/>
      <w:pPr>
        <w:ind w:left="2843" w:hanging="144"/>
      </w:pPr>
      <w:rPr>
        <w:rFonts w:hint="default"/>
        <w:lang w:val="en-US" w:eastAsia="en-US" w:bidi="en-US"/>
      </w:rPr>
    </w:lvl>
    <w:lvl w:ilvl="4" w:tplc="3242988C">
      <w:numFmt w:val="bullet"/>
      <w:lvlText w:val="•"/>
      <w:lvlJc w:val="left"/>
      <w:pPr>
        <w:ind w:left="3757" w:hanging="144"/>
      </w:pPr>
      <w:rPr>
        <w:rFonts w:hint="default"/>
        <w:lang w:val="en-US" w:eastAsia="en-US" w:bidi="en-US"/>
      </w:rPr>
    </w:lvl>
    <w:lvl w:ilvl="5" w:tplc="A06A9122">
      <w:numFmt w:val="bullet"/>
      <w:lvlText w:val="•"/>
      <w:lvlJc w:val="left"/>
      <w:pPr>
        <w:ind w:left="4672" w:hanging="144"/>
      </w:pPr>
      <w:rPr>
        <w:rFonts w:hint="default"/>
        <w:lang w:val="en-US" w:eastAsia="en-US" w:bidi="en-US"/>
      </w:rPr>
    </w:lvl>
    <w:lvl w:ilvl="6" w:tplc="6572475A">
      <w:numFmt w:val="bullet"/>
      <w:lvlText w:val="•"/>
      <w:lvlJc w:val="left"/>
      <w:pPr>
        <w:ind w:left="5586" w:hanging="144"/>
      </w:pPr>
      <w:rPr>
        <w:rFonts w:hint="default"/>
        <w:lang w:val="en-US" w:eastAsia="en-US" w:bidi="en-US"/>
      </w:rPr>
    </w:lvl>
    <w:lvl w:ilvl="7" w:tplc="C8A87434">
      <w:numFmt w:val="bullet"/>
      <w:lvlText w:val="•"/>
      <w:lvlJc w:val="left"/>
      <w:pPr>
        <w:ind w:left="6500" w:hanging="144"/>
      </w:pPr>
      <w:rPr>
        <w:rFonts w:hint="default"/>
        <w:lang w:val="en-US" w:eastAsia="en-US" w:bidi="en-US"/>
      </w:rPr>
    </w:lvl>
    <w:lvl w:ilvl="8" w:tplc="7C38058A">
      <w:numFmt w:val="bullet"/>
      <w:lvlText w:val="•"/>
      <w:lvlJc w:val="left"/>
      <w:pPr>
        <w:ind w:left="7415" w:hanging="144"/>
      </w:pPr>
      <w:rPr>
        <w:rFonts w:hint="default"/>
        <w:lang w:val="en-US" w:eastAsia="en-US" w:bidi="en-US"/>
      </w:rPr>
    </w:lvl>
  </w:abstractNum>
  <w:abstractNum w:abstractNumId="2">
    <w:nsid w:val="4B664CC1"/>
    <w:multiLevelType w:val="hybridMultilevel"/>
    <w:tmpl w:val="891A30FE"/>
    <w:lvl w:ilvl="0" w:tplc="F7484790">
      <w:start w:val="1"/>
      <w:numFmt w:val="lowerRoman"/>
      <w:lvlText w:val="%1)"/>
      <w:lvlJc w:val="left"/>
      <w:pPr>
        <w:ind w:left="100" w:hanging="211"/>
        <w:jc w:val="left"/>
      </w:pPr>
      <w:rPr>
        <w:rFonts w:ascii="Book Antiqua" w:eastAsia="Book Antiqua" w:hAnsi="Book Antiqua" w:cs="Book Antiqua" w:hint="default"/>
        <w:spacing w:val="0"/>
        <w:w w:val="100"/>
        <w:sz w:val="24"/>
        <w:szCs w:val="24"/>
        <w:lang w:val="en-US" w:eastAsia="en-US" w:bidi="en-US"/>
      </w:rPr>
    </w:lvl>
    <w:lvl w:ilvl="1" w:tplc="CFE88568">
      <w:numFmt w:val="bullet"/>
      <w:lvlText w:val="•"/>
      <w:lvlJc w:val="left"/>
      <w:pPr>
        <w:ind w:left="1014" w:hanging="211"/>
      </w:pPr>
      <w:rPr>
        <w:rFonts w:hint="default"/>
        <w:lang w:val="en-US" w:eastAsia="en-US" w:bidi="en-US"/>
      </w:rPr>
    </w:lvl>
    <w:lvl w:ilvl="2" w:tplc="4B5A3716">
      <w:numFmt w:val="bullet"/>
      <w:lvlText w:val="•"/>
      <w:lvlJc w:val="left"/>
      <w:pPr>
        <w:ind w:left="1928" w:hanging="211"/>
      </w:pPr>
      <w:rPr>
        <w:rFonts w:hint="default"/>
        <w:lang w:val="en-US" w:eastAsia="en-US" w:bidi="en-US"/>
      </w:rPr>
    </w:lvl>
    <w:lvl w:ilvl="3" w:tplc="D03E9804">
      <w:numFmt w:val="bullet"/>
      <w:lvlText w:val="•"/>
      <w:lvlJc w:val="left"/>
      <w:pPr>
        <w:ind w:left="2843" w:hanging="211"/>
      </w:pPr>
      <w:rPr>
        <w:rFonts w:hint="default"/>
        <w:lang w:val="en-US" w:eastAsia="en-US" w:bidi="en-US"/>
      </w:rPr>
    </w:lvl>
    <w:lvl w:ilvl="4" w:tplc="44DAB0EA">
      <w:numFmt w:val="bullet"/>
      <w:lvlText w:val="•"/>
      <w:lvlJc w:val="left"/>
      <w:pPr>
        <w:ind w:left="3757" w:hanging="211"/>
      </w:pPr>
      <w:rPr>
        <w:rFonts w:hint="default"/>
        <w:lang w:val="en-US" w:eastAsia="en-US" w:bidi="en-US"/>
      </w:rPr>
    </w:lvl>
    <w:lvl w:ilvl="5" w:tplc="B07E4A24">
      <w:numFmt w:val="bullet"/>
      <w:lvlText w:val="•"/>
      <w:lvlJc w:val="left"/>
      <w:pPr>
        <w:ind w:left="4672" w:hanging="211"/>
      </w:pPr>
      <w:rPr>
        <w:rFonts w:hint="default"/>
        <w:lang w:val="en-US" w:eastAsia="en-US" w:bidi="en-US"/>
      </w:rPr>
    </w:lvl>
    <w:lvl w:ilvl="6" w:tplc="BD12FDAC">
      <w:numFmt w:val="bullet"/>
      <w:lvlText w:val="•"/>
      <w:lvlJc w:val="left"/>
      <w:pPr>
        <w:ind w:left="5586" w:hanging="211"/>
      </w:pPr>
      <w:rPr>
        <w:rFonts w:hint="default"/>
        <w:lang w:val="en-US" w:eastAsia="en-US" w:bidi="en-US"/>
      </w:rPr>
    </w:lvl>
    <w:lvl w:ilvl="7" w:tplc="44F0F6BC">
      <w:numFmt w:val="bullet"/>
      <w:lvlText w:val="•"/>
      <w:lvlJc w:val="left"/>
      <w:pPr>
        <w:ind w:left="6500" w:hanging="211"/>
      </w:pPr>
      <w:rPr>
        <w:rFonts w:hint="default"/>
        <w:lang w:val="en-US" w:eastAsia="en-US" w:bidi="en-US"/>
      </w:rPr>
    </w:lvl>
    <w:lvl w:ilvl="8" w:tplc="28909868">
      <w:numFmt w:val="bullet"/>
      <w:lvlText w:val="•"/>
      <w:lvlJc w:val="left"/>
      <w:pPr>
        <w:ind w:left="7415" w:hanging="211"/>
      </w:pPr>
      <w:rPr>
        <w:rFonts w:hint="default"/>
        <w:lang w:val="en-US" w:eastAsia="en-US" w:bidi="en-US"/>
      </w:rPr>
    </w:lvl>
  </w:abstractNum>
  <w:abstractNum w:abstractNumId="3">
    <w:nsid w:val="7BA37330"/>
    <w:multiLevelType w:val="hybridMultilevel"/>
    <w:tmpl w:val="701EC7E6"/>
    <w:lvl w:ilvl="0" w:tplc="3B6AACEA">
      <w:start w:val="1"/>
      <w:numFmt w:val="decimal"/>
      <w:lvlText w:val="%1."/>
      <w:lvlJc w:val="left"/>
      <w:pPr>
        <w:ind w:left="100" w:hanging="278"/>
        <w:jc w:val="left"/>
      </w:pPr>
      <w:rPr>
        <w:rFonts w:ascii="Book Antiqua" w:eastAsia="Book Antiqua" w:hAnsi="Book Antiqua" w:cs="Book Antiqua" w:hint="default"/>
        <w:spacing w:val="-29"/>
        <w:w w:val="100"/>
        <w:sz w:val="24"/>
        <w:szCs w:val="24"/>
        <w:lang w:val="en-US" w:eastAsia="en-US" w:bidi="en-US"/>
      </w:rPr>
    </w:lvl>
    <w:lvl w:ilvl="1" w:tplc="379CD416">
      <w:numFmt w:val="bullet"/>
      <w:lvlText w:val="•"/>
      <w:lvlJc w:val="left"/>
      <w:pPr>
        <w:ind w:left="1014" w:hanging="278"/>
      </w:pPr>
      <w:rPr>
        <w:rFonts w:hint="default"/>
        <w:lang w:val="en-US" w:eastAsia="en-US" w:bidi="en-US"/>
      </w:rPr>
    </w:lvl>
    <w:lvl w:ilvl="2" w:tplc="E272DB6C">
      <w:numFmt w:val="bullet"/>
      <w:lvlText w:val="•"/>
      <w:lvlJc w:val="left"/>
      <w:pPr>
        <w:ind w:left="1928" w:hanging="278"/>
      </w:pPr>
      <w:rPr>
        <w:rFonts w:hint="default"/>
        <w:lang w:val="en-US" w:eastAsia="en-US" w:bidi="en-US"/>
      </w:rPr>
    </w:lvl>
    <w:lvl w:ilvl="3" w:tplc="81DC415A">
      <w:numFmt w:val="bullet"/>
      <w:lvlText w:val="•"/>
      <w:lvlJc w:val="left"/>
      <w:pPr>
        <w:ind w:left="2843" w:hanging="278"/>
      </w:pPr>
      <w:rPr>
        <w:rFonts w:hint="default"/>
        <w:lang w:val="en-US" w:eastAsia="en-US" w:bidi="en-US"/>
      </w:rPr>
    </w:lvl>
    <w:lvl w:ilvl="4" w:tplc="75107934">
      <w:numFmt w:val="bullet"/>
      <w:lvlText w:val="•"/>
      <w:lvlJc w:val="left"/>
      <w:pPr>
        <w:ind w:left="3757" w:hanging="278"/>
      </w:pPr>
      <w:rPr>
        <w:rFonts w:hint="default"/>
        <w:lang w:val="en-US" w:eastAsia="en-US" w:bidi="en-US"/>
      </w:rPr>
    </w:lvl>
    <w:lvl w:ilvl="5" w:tplc="4F4A59D8">
      <w:numFmt w:val="bullet"/>
      <w:lvlText w:val="•"/>
      <w:lvlJc w:val="left"/>
      <w:pPr>
        <w:ind w:left="4672" w:hanging="278"/>
      </w:pPr>
      <w:rPr>
        <w:rFonts w:hint="default"/>
        <w:lang w:val="en-US" w:eastAsia="en-US" w:bidi="en-US"/>
      </w:rPr>
    </w:lvl>
    <w:lvl w:ilvl="6" w:tplc="2A02D92A">
      <w:numFmt w:val="bullet"/>
      <w:lvlText w:val="•"/>
      <w:lvlJc w:val="left"/>
      <w:pPr>
        <w:ind w:left="5586" w:hanging="278"/>
      </w:pPr>
      <w:rPr>
        <w:rFonts w:hint="default"/>
        <w:lang w:val="en-US" w:eastAsia="en-US" w:bidi="en-US"/>
      </w:rPr>
    </w:lvl>
    <w:lvl w:ilvl="7" w:tplc="B7DCEE58">
      <w:numFmt w:val="bullet"/>
      <w:lvlText w:val="•"/>
      <w:lvlJc w:val="left"/>
      <w:pPr>
        <w:ind w:left="6500" w:hanging="278"/>
      </w:pPr>
      <w:rPr>
        <w:rFonts w:hint="default"/>
        <w:lang w:val="en-US" w:eastAsia="en-US" w:bidi="en-US"/>
      </w:rPr>
    </w:lvl>
    <w:lvl w:ilvl="8" w:tplc="4FAAC336">
      <w:numFmt w:val="bullet"/>
      <w:lvlText w:val="•"/>
      <w:lvlJc w:val="left"/>
      <w:pPr>
        <w:ind w:left="7415" w:hanging="278"/>
      </w:pPr>
      <w:rPr>
        <w:rFonts w:hint="default"/>
        <w:lang w:val="en-US" w:eastAsia="en-US" w:bidi="en-U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1D"/>
    <w:rsid w:val="00830D1D"/>
    <w:rsid w:val="00891744"/>
    <w:rsid w:val="00F0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0D1D"/>
    <w:pPr>
      <w:widowControl w:val="0"/>
      <w:autoSpaceDE w:val="0"/>
      <w:autoSpaceDN w:val="0"/>
      <w:spacing w:after="0" w:line="240" w:lineRule="auto"/>
      <w:ind w:left="100"/>
    </w:pPr>
    <w:rPr>
      <w:rFonts w:ascii="Book Antiqua" w:eastAsia="Book Antiqua" w:hAnsi="Book Antiqua" w:cs="Book Antiqua"/>
      <w:sz w:val="24"/>
      <w:szCs w:val="24"/>
      <w:lang w:bidi="en-US"/>
    </w:rPr>
  </w:style>
  <w:style w:type="character" w:customStyle="1" w:styleId="BodyTextChar">
    <w:name w:val="Body Text Char"/>
    <w:basedOn w:val="DefaultParagraphFont"/>
    <w:link w:val="BodyText"/>
    <w:uiPriority w:val="1"/>
    <w:rsid w:val="00830D1D"/>
    <w:rPr>
      <w:rFonts w:ascii="Book Antiqua" w:eastAsia="Book Antiqua" w:hAnsi="Book Antiqua" w:cs="Book Antiqua"/>
      <w:sz w:val="24"/>
      <w:szCs w:val="24"/>
      <w:lang w:bidi="en-US"/>
    </w:rPr>
  </w:style>
  <w:style w:type="paragraph" w:styleId="ListParagraph">
    <w:name w:val="List Paragraph"/>
    <w:basedOn w:val="Normal"/>
    <w:uiPriority w:val="1"/>
    <w:qFormat/>
    <w:rsid w:val="00830D1D"/>
    <w:pPr>
      <w:widowControl w:val="0"/>
      <w:autoSpaceDE w:val="0"/>
      <w:autoSpaceDN w:val="0"/>
      <w:spacing w:after="0" w:line="240" w:lineRule="auto"/>
      <w:ind w:left="100" w:right="119"/>
      <w:jc w:val="both"/>
    </w:pPr>
    <w:rPr>
      <w:rFonts w:ascii="Book Antiqua" w:eastAsia="Book Antiqua" w:hAnsi="Book Antiqua" w:cs="Book Antiqua"/>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0D1D"/>
    <w:pPr>
      <w:widowControl w:val="0"/>
      <w:autoSpaceDE w:val="0"/>
      <w:autoSpaceDN w:val="0"/>
      <w:spacing w:after="0" w:line="240" w:lineRule="auto"/>
      <w:ind w:left="100"/>
    </w:pPr>
    <w:rPr>
      <w:rFonts w:ascii="Book Antiqua" w:eastAsia="Book Antiqua" w:hAnsi="Book Antiqua" w:cs="Book Antiqua"/>
      <w:sz w:val="24"/>
      <w:szCs w:val="24"/>
      <w:lang w:bidi="en-US"/>
    </w:rPr>
  </w:style>
  <w:style w:type="character" w:customStyle="1" w:styleId="BodyTextChar">
    <w:name w:val="Body Text Char"/>
    <w:basedOn w:val="DefaultParagraphFont"/>
    <w:link w:val="BodyText"/>
    <w:uiPriority w:val="1"/>
    <w:rsid w:val="00830D1D"/>
    <w:rPr>
      <w:rFonts w:ascii="Book Antiqua" w:eastAsia="Book Antiqua" w:hAnsi="Book Antiqua" w:cs="Book Antiqua"/>
      <w:sz w:val="24"/>
      <w:szCs w:val="24"/>
      <w:lang w:bidi="en-US"/>
    </w:rPr>
  </w:style>
  <w:style w:type="paragraph" w:styleId="ListParagraph">
    <w:name w:val="List Paragraph"/>
    <w:basedOn w:val="Normal"/>
    <w:uiPriority w:val="1"/>
    <w:qFormat/>
    <w:rsid w:val="00830D1D"/>
    <w:pPr>
      <w:widowControl w:val="0"/>
      <w:autoSpaceDE w:val="0"/>
      <w:autoSpaceDN w:val="0"/>
      <w:spacing w:after="0" w:line="240" w:lineRule="auto"/>
      <w:ind w:left="100" w:right="119"/>
      <w:jc w:val="both"/>
    </w:pPr>
    <w:rPr>
      <w:rFonts w:ascii="Book Antiqua" w:eastAsia="Book Antiqua" w:hAnsi="Book Antiqua" w:cs="Book Antiqu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810</Words>
  <Characters>4621</Characters>
  <Application>Microsoft Office Word</Application>
  <DocSecurity>0</DocSecurity>
  <Lines>38</Lines>
  <Paragraphs>10</Paragraphs>
  <ScaleCrop>false</ScaleCrop>
  <Company>Hewlett-Packard</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ashraf appu</dc:creator>
  <cp:lastModifiedBy>ashraf appu</cp:lastModifiedBy>
  <cp:revision>2</cp:revision>
  <dcterms:created xsi:type="dcterms:W3CDTF">2024-03-01T11:47:00Z</dcterms:created>
  <dcterms:modified xsi:type="dcterms:W3CDTF">2024-03-01T11:57:00Z</dcterms:modified>
</cp:coreProperties>
</file>